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7D" w:rsidRPr="00294B9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</w:rPr>
      </w:pPr>
      <w:r w:rsidRPr="00294B9C">
        <w:rPr>
          <w:rFonts w:ascii="DecimaWE Rg" w:eastAsia="Calibri" w:hAnsi="DecimaWE Rg" w:cs="Arial"/>
          <w:b/>
          <w:color w:val="0070C0"/>
          <w:sz w:val="24"/>
          <w:szCs w:val="24"/>
        </w:rPr>
        <w:t>TAVOLO ISTITUZIONALE E SOCIO</w:t>
      </w:r>
      <w:r w:rsidR="00ED0C05" w:rsidRPr="00294B9C">
        <w:rPr>
          <w:rFonts w:ascii="DecimaWE Rg" w:eastAsia="Calibri" w:hAnsi="DecimaWE Rg" w:cs="Arial"/>
          <w:b/>
          <w:color w:val="0070C0"/>
          <w:sz w:val="24"/>
          <w:szCs w:val="24"/>
        </w:rPr>
        <w:t>-</w:t>
      </w:r>
      <w:r w:rsidRPr="00294B9C">
        <w:rPr>
          <w:rFonts w:ascii="DecimaWE Rg" w:eastAsia="Calibri" w:hAnsi="DecimaWE Rg" w:cs="Arial"/>
          <w:b/>
          <w:color w:val="0070C0"/>
          <w:sz w:val="24"/>
          <w:szCs w:val="24"/>
        </w:rPr>
        <w:t>ECONOMICO</w:t>
      </w:r>
    </w:p>
    <w:p w:rsidR="00EE3A46" w:rsidRPr="00294B9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</w:rPr>
      </w:pPr>
    </w:p>
    <w:p w:rsidR="00EE3A46" w:rsidRPr="00294B9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color w:val="0070C0"/>
          <w:sz w:val="24"/>
          <w:szCs w:val="24"/>
        </w:rPr>
      </w:pPr>
      <w:r w:rsidRPr="00294B9C">
        <w:rPr>
          <w:rFonts w:ascii="DecimaWE Rg" w:eastAsia="Calibri" w:hAnsi="DecimaWE Rg" w:cs="Arial"/>
          <w:color w:val="0070C0"/>
          <w:sz w:val="24"/>
          <w:szCs w:val="24"/>
        </w:rPr>
        <w:t>II Incontro – 16 dicembre 2013</w:t>
      </w:r>
      <w:r w:rsidR="00294B9C" w:rsidRPr="00294B9C">
        <w:rPr>
          <w:rFonts w:ascii="DecimaWE Rg" w:eastAsia="Calibri" w:hAnsi="DecimaWE Rg" w:cs="Arial"/>
          <w:color w:val="0070C0"/>
          <w:sz w:val="24"/>
          <w:szCs w:val="24"/>
        </w:rPr>
        <w:t xml:space="preserve"> ore 15:15</w:t>
      </w:r>
    </w:p>
    <w:p w:rsidR="00EE3A46" w:rsidRPr="00294B9C" w:rsidRDefault="00EE3A46" w:rsidP="00294B9C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</w:rPr>
      </w:pPr>
    </w:p>
    <w:p w:rsidR="00EE3A46" w:rsidRPr="00294B9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  <w:r w:rsidRPr="00294B9C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>Tavolo Tecnico - Verbale</w:t>
      </w:r>
    </w:p>
    <w:p w:rsidR="00EE3A46" w:rsidRPr="00294B9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</w:p>
    <w:p w:rsidR="00EE3A46" w:rsidRPr="00294B9C" w:rsidRDefault="00EE3A46" w:rsidP="00EE3A46">
      <w:pPr>
        <w:spacing w:after="0" w:line="240" w:lineRule="auto"/>
        <w:jc w:val="center"/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</w:pPr>
      <w:r w:rsidRPr="00294B9C">
        <w:rPr>
          <w:rFonts w:ascii="DecimaWE Rg" w:eastAsia="Calibri" w:hAnsi="DecimaWE Rg" w:cs="Arial"/>
          <w:b/>
          <w:color w:val="0070C0"/>
          <w:sz w:val="24"/>
          <w:szCs w:val="24"/>
          <w:u w:val="single"/>
        </w:rPr>
        <w:t>Obiettivo Tematico 4 – Energia sostenibile e qualità della vita</w:t>
      </w:r>
    </w:p>
    <w:p w:rsidR="00EE3A46" w:rsidRDefault="00EE3A46" w:rsidP="00EE3A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A46" w:rsidRDefault="00EE3A46" w:rsidP="00EE3A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A46" w:rsidRPr="00F05C18" w:rsidRDefault="0068086E" w:rsidP="00F05C18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In rappresentanza delle </w:t>
      </w:r>
      <w:r w:rsidRPr="00CD3056">
        <w:rPr>
          <w:rFonts w:ascii="Georgia" w:hAnsi="Georgia" w:cs="Arial"/>
          <w:b/>
          <w:sz w:val="24"/>
          <w:szCs w:val="24"/>
        </w:rPr>
        <w:t xml:space="preserve">Direzioni Centrali della Regione Autonoma Friuli Venezia Giulia </w:t>
      </w:r>
      <w:r w:rsidRPr="00F05C18">
        <w:rPr>
          <w:rFonts w:ascii="Georgia" w:hAnsi="Georgia" w:cs="Arial"/>
          <w:sz w:val="24"/>
          <w:szCs w:val="24"/>
        </w:rPr>
        <w:t>sono presenti: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sz w:val="24"/>
          <w:szCs w:val="24"/>
          <w:u w:val="single"/>
        </w:rPr>
        <w:t>Massimiliano Bressan</w:t>
      </w:r>
      <w:r w:rsidR="006F0AA7">
        <w:rPr>
          <w:rFonts w:ascii="Georgia" w:hAnsi="Georgia" w:cs="Arial"/>
          <w:sz w:val="24"/>
          <w:szCs w:val="24"/>
        </w:rPr>
        <w:t xml:space="preserve">, </w:t>
      </w:r>
      <w:r w:rsidRPr="00F05C18">
        <w:rPr>
          <w:rFonts w:ascii="Georgia" w:hAnsi="Georgia" w:cs="Arial"/>
          <w:sz w:val="24"/>
          <w:szCs w:val="24"/>
        </w:rPr>
        <w:t>Direzione Centrale Salute, Integrazione socio sanitaria, Politiche sociali e famiglia; Servizio Tecnologie e Investimenti;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l’arch. </w:t>
      </w:r>
      <w:r w:rsidRPr="00F05C18">
        <w:rPr>
          <w:rFonts w:ascii="Georgia" w:hAnsi="Georgia" w:cs="Arial"/>
          <w:sz w:val="24"/>
          <w:szCs w:val="24"/>
          <w:u w:val="single"/>
        </w:rPr>
        <w:t>Luciano Pozzecco</w:t>
      </w:r>
      <w:r w:rsidRPr="00F05C18">
        <w:rPr>
          <w:rFonts w:ascii="Georgia" w:hAnsi="Georgia" w:cs="Arial"/>
          <w:sz w:val="24"/>
          <w:szCs w:val="24"/>
        </w:rPr>
        <w:t>, Direzione Centrale Infrastrutture, Mobilità, Pianificazione territoriale, Lavori Pubblici, Università; Servizio Università ed Edilizia scolastica;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sz w:val="24"/>
          <w:szCs w:val="24"/>
          <w:u w:val="single"/>
        </w:rPr>
        <w:t>Maurizio Urizio</w:t>
      </w:r>
      <w:r w:rsidRPr="00F05C18">
        <w:rPr>
          <w:rFonts w:ascii="Georgia" w:hAnsi="Georgia" w:cs="Arial"/>
          <w:sz w:val="24"/>
          <w:szCs w:val="24"/>
        </w:rPr>
        <w:t>, Direzione Centrale Ambiente ed Energia; Servizio Geologico;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la dott.ssa Paola Zuodar, Direzione Centrale Ambiente ed energia; Servizio Energia.</w:t>
      </w:r>
    </w:p>
    <w:p w:rsidR="0068086E" w:rsidRPr="00F05C18" w:rsidRDefault="0068086E" w:rsidP="00F05C18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68086E" w:rsidRPr="00F05C18" w:rsidRDefault="0068086E" w:rsidP="00F05C18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Partecipano in qualità di </w:t>
      </w:r>
      <w:r w:rsidRPr="00CD3056">
        <w:rPr>
          <w:rFonts w:ascii="Georgia" w:hAnsi="Georgia" w:cs="Arial"/>
          <w:b/>
          <w:sz w:val="24"/>
          <w:szCs w:val="24"/>
        </w:rPr>
        <w:t>rappresentanti partenariali</w:t>
      </w:r>
      <w:r w:rsidRPr="00F05C18">
        <w:rPr>
          <w:rFonts w:ascii="Georgia" w:hAnsi="Georgia" w:cs="Arial"/>
          <w:sz w:val="24"/>
          <w:szCs w:val="24"/>
        </w:rPr>
        <w:t>: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Veronese Marica (Concentro – Azienda speciale della CCIAA di Pordenone)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Penso Lucio (Regione FVG – P.O. </w:t>
      </w:r>
      <w:r w:rsidRPr="000C4AC4">
        <w:rPr>
          <w:rFonts w:ascii="Georgia" w:hAnsi="Georgia" w:cs="Arial"/>
          <w:sz w:val="24"/>
          <w:szCs w:val="24"/>
        </w:rPr>
        <w:t>coordinamento delle attivita' dell'ufficio speciale per la ferriera di servola</w:t>
      </w:r>
      <w:r w:rsidRPr="00F05C18">
        <w:rPr>
          <w:rFonts w:ascii="Georgia" w:hAnsi="Georgia" w:cs="Arial"/>
          <w:sz w:val="24"/>
          <w:szCs w:val="24"/>
        </w:rPr>
        <w:t>)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Della Torre Roberto (</w:t>
      </w:r>
      <w:r w:rsidR="00940B4A" w:rsidRPr="00F05C18">
        <w:rPr>
          <w:rFonts w:ascii="Georgia" w:hAnsi="Georgia" w:cs="Arial"/>
          <w:sz w:val="24"/>
          <w:szCs w:val="24"/>
        </w:rPr>
        <w:t xml:space="preserve">Presidente del </w:t>
      </w:r>
      <w:r w:rsidRPr="00F05C18">
        <w:rPr>
          <w:rFonts w:ascii="Georgia" w:hAnsi="Georgia" w:cs="Arial"/>
          <w:sz w:val="24"/>
          <w:szCs w:val="24"/>
        </w:rPr>
        <w:t>CETA di Gorizia)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D’Ambros Paolo (Consorzio per lo sviluppo industriale di Tolmezzo)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Piazza Barbara (SOFORM Scarl)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Gubiani Rino (Università di Udine)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Monaco Barbara (Area Science Park)</w:t>
      </w:r>
    </w:p>
    <w:p w:rsidR="0068086E" w:rsidRPr="0032216E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  <w:lang w:val="en-US"/>
        </w:rPr>
      </w:pPr>
      <w:r w:rsidRPr="0032216E">
        <w:rPr>
          <w:rFonts w:ascii="Georgia" w:hAnsi="Georgia" w:cs="Arial"/>
          <w:sz w:val="24"/>
          <w:szCs w:val="24"/>
          <w:lang w:val="en-US"/>
        </w:rPr>
        <w:t>Morea Fabio (Area Science Park)</w:t>
      </w:r>
    </w:p>
    <w:p w:rsidR="0068086E" w:rsidRPr="00F05C18" w:rsidRDefault="0068086E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Lughi Vanni (Università di Trieste)</w:t>
      </w:r>
    </w:p>
    <w:p w:rsidR="0068086E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Fioritto Carlo (Comune di Udine)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Pizza Enrico (Assessore alla mobilità del Comune di Udine)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Civai Stefano (LegaCoop FVG)</w:t>
      </w:r>
    </w:p>
    <w:p w:rsidR="00ED7EA5" w:rsidRPr="0032216E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  <w:lang w:val="en-US"/>
        </w:rPr>
      </w:pPr>
      <w:r w:rsidRPr="0032216E">
        <w:rPr>
          <w:rFonts w:ascii="Georgia" w:hAnsi="Georgia" w:cs="Arial"/>
          <w:sz w:val="24"/>
          <w:szCs w:val="24"/>
          <w:lang w:val="en-US"/>
        </w:rPr>
        <w:t>Corte Fabrizio (Ernst And Young)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Mattiussi Alessandro (Confindustria Udine)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Deponte Monica (Confcommercio Trieste)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Tonetto Marco (Provincia di Udine)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Badin Paolo (Unindustria Pordenone)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Vellico Michela (OGS Trieste)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Cesco Gasp</w:t>
      </w:r>
      <w:r w:rsidR="0013486D">
        <w:rPr>
          <w:rFonts w:ascii="Georgia" w:hAnsi="Georgia" w:cs="Arial"/>
          <w:sz w:val="24"/>
          <w:szCs w:val="24"/>
        </w:rPr>
        <w:t>a</w:t>
      </w:r>
      <w:r w:rsidRPr="00F05C18">
        <w:rPr>
          <w:rFonts w:ascii="Georgia" w:hAnsi="Georgia" w:cs="Arial"/>
          <w:sz w:val="24"/>
          <w:szCs w:val="24"/>
        </w:rPr>
        <w:t>re Carlotta (Comune di Trieste)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Mucignat Piero (Confartigianato Pordenone)</w:t>
      </w:r>
    </w:p>
    <w:p w:rsidR="00ED7EA5" w:rsidRPr="00F05C18" w:rsidRDefault="00925759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Boschin Luciana</w:t>
      </w:r>
      <w:r w:rsidR="00ED7EA5" w:rsidRPr="00F05C18">
        <w:rPr>
          <w:rFonts w:ascii="Georgia" w:hAnsi="Georgia" w:cs="Arial"/>
          <w:sz w:val="24"/>
          <w:szCs w:val="24"/>
        </w:rPr>
        <w:t xml:space="preserve"> (Italia Nostra FVG – WWF FVG)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Stefanelli Silvia (Regione FVG, Servizio Energia – Autorità Ambientale)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D’Imperio Giovanni (Provincia di Gorizia)</w:t>
      </w:r>
    </w:p>
    <w:p w:rsidR="00ED7EA5" w:rsidRPr="00F05C18" w:rsidRDefault="00ED7EA5" w:rsidP="00925759">
      <w:pPr>
        <w:pStyle w:val="ListParagraph"/>
        <w:numPr>
          <w:ilvl w:val="0"/>
          <w:numId w:val="2"/>
        </w:numPr>
        <w:spacing w:after="0" w:line="240" w:lineRule="auto"/>
        <w:ind w:left="851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Carlot Laura (Provincia di Gorizia)</w:t>
      </w:r>
    </w:p>
    <w:p w:rsidR="00ED7EA5" w:rsidRPr="00F05C18" w:rsidRDefault="00ED7EA5" w:rsidP="00F05C18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ED7EA5" w:rsidRDefault="002B7CA0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Il tavolo tecnico si apre</w:t>
      </w:r>
      <w:r w:rsidR="008014B3">
        <w:rPr>
          <w:rFonts w:ascii="Georgia" w:hAnsi="Georgia" w:cs="Arial"/>
          <w:sz w:val="24"/>
          <w:szCs w:val="24"/>
        </w:rPr>
        <w:t xml:space="preserve"> alle ore 15:</w:t>
      </w:r>
      <w:r w:rsidR="00AA6737" w:rsidRPr="00F05C18">
        <w:rPr>
          <w:rFonts w:ascii="Georgia" w:hAnsi="Georgia" w:cs="Arial"/>
          <w:sz w:val="24"/>
          <w:szCs w:val="24"/>
        </w:rPr>
        <w:t>15, il rappresentante dell’AT</w:t>
      </w:r>
      <w:r w:rsidRPr="00F05C18">
        <w:rPr>
          <w:rFonts w:ascii="Georgia" w:hAnsi="Georgia" w:cs="Arial"/>
          <w:sz w:val="24"/>
          <w:szCs w:val="24"/>
        </w:rPr>
        <w:t xml:space="preserve"> indica la moda</w:t>
      </w:r>
      <w:r w:rsidR="00AD491F">
        <w:rPr>
          <w:rFonts w:ascii="Georgia" w:hAnsi="Georgia" w:cs="Arial"/>
          <w:sz w:val="24"/>
          <w:szCs w:val="24"/>
        </w:rPr>
        <w:t>lità di svolgimento del tavolo</w:t>
      </w:r>
      <w:r w:rsidRPr="00F05C18">
        <w:rPr>
          <w:rFonts w:ascii="Georgia" w:hAnsi="Georgia" w:cs="Arial"/>
          <w:sz w:val="24"/>
          <w:szCs w:val="24"/>
        </w:rPr>
        <w:t xml:space="preserve">, riassume i risultati evidenziati nel convegno mattutino per quanto riguarda le azioni dell’Obiettivo Tematico 4 ed invita il dott. </w:t>
      </w:r>
      <w:r w:rsidRPr="00F05C18">
        <w:rPr>
          <w:rFonts w:ascii="Georgia" w:hAnsi="Georgia" w:cs="Arial"/>
          <w:b/>
          <w:sz w:val="24"/>
          <w:szCs w:val="24"/>
        </w:rPr>
        <w:t>Bressan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(DC Salute)</w:t>
      </w:r>
      <w:r w:rsidRPr="00F05C18">
        <w:rPr>
          <w:rFonts w:ascii="Georgia" w:hAnsi="Georgia" w:cs="Arial"/>
          <w:sz w:val="24"/>
          <w:szCs w:val="24"/>
        </w:rPr>
        <w:t xml:space="preserve"> a</w:t>
      </w:r>
      <w:r w:rsidR="005F48C4" w:rsidRPr="00F05C18">
        <w:rPr>
          <w:rFonts w:ascii="Georgia" w:hAnsi="Georgia" w:cs="Arial"/>
          <w:sz w:val="24"/>
          <w:szCs w:val="24"/>
        </w:rPr>
        <w:t xml:space="preserve"> presentare le due azioni proposte dalla propria Direzione Centrale (</w:t>
      </w:r>
      <w:r w:rsidR="001A0E85" w:rsidRPr="00F05C18">
        <w:rPr>
          <w:rFonts w:ascii="Georgia" w:hAnsi="Georgia" w:cs="Arial"/>
          <w:sz w:val="24"/>
          <w:szCs w:val="24"/>
        </w:rPr>
        <w:t xml:space="preserve">Programma </w:t>
      </w:r>
      <w:r w:rsidR="001A0E85" w:rsidRPr="00F05C18">
        <w:rPr>
          <w:rFonts w:ascii="Georgia" w:hAnsi="Georgia" w:cs="Arial"/>
          <w:sz w:val="24"/>
          <w:szCs w:val="24"/>
        </w:rPr>
        <w:lastRenderedPageBreak/>
        <w:t>straordinario per l’e</w:t>
      </w:r>
      <w:r w:rsidR="005F48C4" w:rsidRPr="00F05C18">
        <w:rPr>
          <w:rFonts w:ascii="Georgia" w:hAnsi="Georgia" w:cs="Arial"/>
          <w:sz w:val="24"/>
          <w:szCs w:val="24"/>
        </w:rPr>
        <w:t>fficientamento energetico di edifici sanitari ospedalieri e territoriali</w:t>
      </w:r>
      <w:r w:rsidR="00AA6737" w:rsidRPr="00F05C18">
        <w:rPr>
          <w:rFonts w:ascii="Georgia" w:hAnsi="Georgia" w:cs="Arial"/>
          <w:sz w:val="24"/>
          <w:szCs w:val="24"/>
        </w:rPr>
        <w:t xml:space="preserve"> e</w:t>
      </w:r>
      <w:r w:rsidR="001A0E85" w:rsidRPr="00F05C18">
        <w:rPr>
          <w:rFonts w:ascii="Georgia" w:hAnsi="Georgia" w:cs="Arial"/>
          <w:sz w:val="24"/>
          <w:szCs w:val="24"/>
        </w:rPr>
        <w:t xml:space="preserve"> Programma straordinario per</w:t>
      </w:r>
      <w:r w:rsidR="005F48C4" w:rsidRPr="00F05C18">
        <w:rPr>
          <w:rFonts w:ascii="Georgia" w:hAnsi="Georgia" w:cs="Arial"/>
          <w:sz w:val="24"/>
          <w:szCs w:val="24"/>
        </w:rPr>
        <w:t xml:space="preserve"> </w:t>
      </w:r>
      <w:r w:rsidR="001A0E85" w:rsidRPr="00F05C18">
        <w:rPr>
          <w:rFonts w:ascii="Georgia" w:hAnsi="Georgia" w:cs="Arial"/>
          <w:sz w:val="24"/>
          <w:szCs w:val="24"/>
        </w:rPr>
        <w:t>l’e</w:t>
      </w:r>
      <w:r w:rsidR="005F48C4" w:rsidRPr="00F05C18">
        <w:rPr>
          <w:rFonts w:ascii="Georgia" w:hAnsi="Georgia" w:cs="Arial"/>
          <w:sz w:val="24"/>
          <w:szCs w:val="24"/>
        </w:rPr>
        <w:t>fficientamento energetico di edifici residenziali per persone non autosufficienti). Spiega che la possibi</w:t>
      </w:r>
      <w:r w:rsidR="00A10C00">
        <w:rPr>
          <w:rFonts w:ascii="Georgia" w:hAnsi="Georgia" w:cs="Arial"/>
          <w:sz w:val="24"/>
          <w:szCs w:val="24"/>
        </w:rPr>
        <w:t>lità di intervento edilizio in r</w:t>
      </w:r>
      <w:r w:rsidR="005F48C4" w:rsidRPr="00F05C18">
        <w:rPr>
          <w:rFonts w:ascii="Georgia" w:hAnsi="Georgia" w:cs="Arial"/>
          <w:sz w:val="24"/>
          <w:szCs w:val="24"/>
        </w:rPr>
        <w:t xml:space="preserve">egione è un ambito molto vasto, per cui, in merito alle due azioni sopraccitate, si dovrebbero attuare interventi </w:t>
      </w:r>
      <w:r w:rsidR="00D01FB8" w:rsidRPr="00F05C18">
        <w:rPr>
          <w:rFonts w:ascii="Georgia" w:hAnsi="Georgia" w:cs="Arial"/>
          <w:sz w:val="24"/>
          <w:szCs w:val="24"/>
        </w:rPr>
        <w:t>in favore della cogenerazione (di energia e calore), del fotovoltaico e del geotermico</w:t>
      </w:r>
      <w:r w:rsidR="00517D2F">
        <w:rPr>
          <w:rFonts w:ascii="Georgia" w:hAnsi="Georgia" w:cs="Arial"/>
          <w:sz w:val="24"/>
          <w:szCs w:val="24"/>
        </w:rPr>
        <w:t>,</w:t>
      </w:r>
      <w:r w:rsidR="00D01FB8" w:rsidRPr="00F05C18">
        <w:rPr>
          <w:rFonts w:ascii="Georgia" w:hAnsi="Georgia" w:cs="Arial"/>
          <w:sz w:val="24"/>
          <w:szCs w:val="24"/>
        </w:rPr>
        <w:t xml:space="preserve"> piuttosto che l’installazione di infissi isolanti o di micro interventi in genere.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D01FB8" w:rsidRDefault="00D01FB8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Interviene il dott. </w:t>
      </w:r>
      <w:r w:rsidRPr="00F05C18">
        <w:rPr>
          <w:rFonts w:ascii="Georgia" w:hAnsi="Georgia" w:cs="Arial"/>
          <w:b/>
          <w:sz w:val="24"/>
          <w:szCs w:val="24"/>
        </w:rPr>
        <w:t>Morea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(AREA Science Park Trieste)</w:t>
      </w:r>
      <w:r w:rsidRPr="00F05C18">
        <w:rPr>
          <w:rFonts w:ascii="Georgia" w:hAnsi="Georgia" w:cs="Arial"/>
          <w:sz w:val="24"/>
          <w:szCs w:val="24"/>
        </w:rPr>
        <w:t>, indicando che</w:t>
      </w:r>
      <w:r w:rsidR="00AD0351">
        <w:rPr>
          <w:rFonts w:ascii="Georgia" w:hAnsi="Georgia" w:cs="Arial"/>
          <w:sz w:val="24"/>
          <w:szCs w:val="24"/>
        </w:rPr>
        <w:t>,</w:t>
      </w:r>
      <w:r w:rsidRPr="00F05C18">
        <w:rPr>
          <w:rFonts w:ascii="Georgia" w:hAnsi="Georgia" w:cs="Arial"/>
          <w:sz w:val="24"/>
          <w:szCs w:val="24"/>
        </w:rPr>
        <w:t xml:space="preserve"> a livello europeo</w:t>
      </w:r>
      <w:r w:rsidR="00AD0351">
        <w:rPr>
          <w:rFonts w:ascii="Georgia" w:hAnsi="Georgia" w:cs="Arial"/>
          <w:sz w:val="24"/>
          <w:szCs w:val="24"/>
        </w:rPr>
        <w:t>,</w:t>
      </w:r>
      <w:r w:rsidRPr="00F05C18">
        <w:rPr>
          <w:rFonts w:ascii="Georgia" w:hAnsi="Georgia" w:cs="Arial"/>
          <w:sz w:val="24"/>
          <w:szCs w:val="24"/>
        </w:rPr>
        <w:t xml:space="preserve"> vengono promossi progetti di efficientamento energetico per i quali l’Ente o la Pubblica Amministrazione finanzia una minima parte dell’iniziativa ed il restante costo va a carico del beneficiario o di terzi soggetti privati che fin</w:t>
      </w:r>
      <w:r w:rsidR="00AD0351">
        <w:rPr>
          <w:rFonts w:ascii="Georgia" w:hAnsi="Georgia" w:cs="Arial"/>
          <w:sz w:val="24"/>
          <w:szCs w:val="24"/>
        </w:rPr>
        <w:t xml:space="preserve">anziano il beneficiario stesso. </w:t>
      </w:r>
      <w:r w:rsidRPr="00F05C18">
        <w:rPr>
          <w:rFonts w:ascii="Georgia" w:hAnsi="Georgia" w:cs="Arial"/>
          <w:sz w:val="24"/>
          <w:szCs w:val="24"/>
        </w:rPr>
        <w:t>L’esempio riportato permetterebbe, rispetto alle attuali modalità di finanziamento dei progetti del POR-FESR 2007-2013, di finanziare e realizzare molti più progetti a fronte di una data disponibilità finanziaria,</w:t>
      </w:r>
      <w:r w:rsidR="00203D8B" w:rsidRPr="00F05C18">
        <w:rPr>
          <w:rFonts w:ascii="Georgia" w:hAnsi="Georgia" w:cs="Arial"/>
          <w:sz w:val="24"/>
          <w:szCs w:val="24"/>
        </w:rPr>
        <w:t xml:space="preserve"> in favore di una maggiore diffusione sul territorio dei benefici derivanti dalle azioni messe in campo</w:t>
      </w:r>
      <w:r w:rsidR="00203D8B" w:rsidRPr="000913D3">
        <w:rPr>
          <w:rFonts w:ascii="Georgia" w:hAnsi="Georgia" w:cs="Arial"/>
          <w:sz w:val="24"/>
          <w:szCs w:val="24"/>
        </w:rPr>
        <w:t>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203D8B" w:rsidRDefault="00203D8B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Tale proposta è supportata e condivisa dalla dott.ssa </w:t>
      </w:r>
      <w:r w:rsidRPr="00F05C18">
        <w:rPr>
          <w:rFonts w:ascii="Georgia" w:hAnsi="Georgia" w:cs="Arial"/>
          <w:b/>
          <w:sz w:val="24"/>
          <w:szCs w:val="24"/>
        </w:rPr>
        <w:t>Cesco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(Comune di Trieste)</w:t>
      </w:r>
      <w:r w:rsidRPr="00F05C18">
        <w:rPr>
          <w:rFonts w:ascii="Georgia" w:hAnsi="Georgia" w:cs="Arial"/>
          <w:sz w:val="24"/>
          <w:szCs w:val="24"/>
        </w:rPr>
        <w:t>, che sottolinea la capacità di replicabilità e capitalizzazione delle tecnologie adottate per l’efficientamento energetico.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4A517E" w:rsidRDefault="00940B4A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Urizio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(DC Ambiente e Energia)</w:t>
      </w:r>
      <w:r w:rsidRPr="00F05C18">
        <w:rPr>
          <w:rFonts w:ascii="Georgia" w:hAnsi="Georgia" w:cs="Arial"/>
          <w:sz w:val="24"/>
          <w:szCs w:val="24"/>
        </w:rPr>
        <w:t>, a tal proposito, in pieno accordo con i precede</w:t>
      </w:r>
      <w:r w:rsidR="000913D3">
        <w:rPr>
          <w:rFonts w:ascii="Georgia" w:hAnsi="Georgia" w:cs="Arial"/>
          <w:sz w:val="24"/>
          <w:szCs w:val="24"/>
        </w:rPr>
        <w:t xml:space="preserve">nti interventi, chiede se nell’ambito della </w:t>
      </w:r>
      <w:r w:rsidRPr="00F05C18">
        <w:rPr>
          <w:rFonts w:ascii="Georgia" w:hAnsi="Georgia" w:cs="Arial"/>
          <w:sz w:val="24"/>
          <w:szCs w:val="24"/>
        </w:rPr>
        <w:t>programmazione 2014-2020 sarà possibile adottare questa logica di finanziamento.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940B4A" w:rsidRDefault="00940B4A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Sig. </w:t>
      </w:r>
      <w:r w:rsidRPr="00F05C18">
        <w:rPr>
          <w:rFonts w:ascii="Georgia" w:hAnsi="Georgia" w:cs="Arial"/>
          <w:b/>
          <w:sz w:val="24"/>
          <w:szCs w:val="24"/>
        </w:rPr>
        <w:t>Della Torre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(CETA Gorizia)</w:t>
      </w:r>
      <w:r w:rsidR="00CD3056">
        <w:rPr>
          <w:rFonts w:ascii="Georgia" w:hAnsi="Georgia" w:cs="Arial"/>
          <w:sz w:val="24"/>
          <w:szCs w:val="24"/>
        </w:rPr>
        <w:t xml:space="preserve">, premettendo di non essere stato </w:t>
      </w:r>
      <w:r w:rsidRPr="00F05C18">
        <w:rPr>
          <w:rFonts w:ascii="Georgia" w:hAnsi="Georgia" w:cs="Arial"/>
          <w:sz w:val="24"/>
          <w:szCs w:val="24"/>
        </w:rPr>
        <w:t xml:space="preserve">presente al convegno della mattina, si collega alla precedente domanda per evidenziare la necessità che i finanziamenti (modalità, tempi e dettagli) debbano essere accordati in presenza dei partner, in particolar modo se si tratta di imprese, nello specifico piccole e medie imprese. Esprime il proprio accordo con le proposte di Morea e Cesco, chiedendo, su quest’onda di pensiero, di promuovere l’adozione di fonti rinnovabili </w:t>
      </w:r>
      <w:r w:rsidRPr="00F05C18">
        <w:rPr>
          <w:rFonts w:ascii="Georgia" w:hAnsi="Georgia" w:cs="Arial"/>
          <w:i/>
          <w:sz w:val="24"/>
          <w:szCs w:val="24"/>
        </w:rPr>
        <w:t>tout court</w:t>
      </w:r>
      <w:r w:rsidRPr="00F05C18">
        <w:rPr>
          <w:rFonts w:ascii="Georgia" w:hAnsi="Georgia" w:cs="Arial"/>
          <w:sz w:val="24"/>
          <w:szCs w:val="24"/>
        </w:rPr>
        <w:t>, non solo sugli involucri edilizi inefficienti.</w:t>
      </w:r>
      <w:r w:rsidR="00C8151A" w:rsidRPr="00F05C18">
        <w:rPr>
          <w:rFonts w:ascii="Georgia" w:hAnsi="Georgia" w:cs="Arial"/>
          <w:sz w:val="24"/>
          <w:szCs w:val="24"/>
        </w:rPr>
        <w:t xml:space="preserve"> Aggiunge</w:t>
      </w:r>
      <w:r w:rsidR="00CD3056">
        <w:rPr>
          <w:rFonts w:ascii="Georgia" w:hAnsi="Georgia" w:cs="Arial"/>
          <w:sz w:val="24"/>
          <w:szCs w:val="24"/>
        </w:rPr>
        <w:t>,</w:t>
      </w:r>
      <w:r w:rsidR="00C8151A" w:rsidRPr="00F05C18">
        <w:rPr>
          <w:rFonts w:ascii="Georgia" w:hAnsi="Georgia" w:cs="Arial"/>
          <w:sz w:val="24"/>
          <w:szCs w:val="24"/>
        </w:rPr>
        <w:t xml:space="preserve"> inoltre</w:t>
      </w:r>
      <w:r w:rsidR="00CD3056">
        <w:rPr>
          <w:rFonts w:ascii="Georgia" w:hAnsi="Georgia" w:cs="Arial"/>
          <w:sz w:val="24"/>
          <w:szCs w:val="24"/>
        </w:rPr>
        <w:t>,</w:t>
      </w:r>
      <w:r w:rsidR="00C8151A" w:rsidRPr="00F05C18">
        <w:rPr>
          <w:rFonts w:ascii="Georgia" w:hAnsi="Georgia" w:cs="Arial"/>
          <w:sz w:val="24"/>
          <w:szCs w:val="24"/>
        </w:rPr>
        <w:t xml:space="preserve"> che sperava venissero raggiunti risultati maggiori per l’azione 4.1.2 “Installazione di sistemi intelligenti di telecontrollo, regolazione e gestione e di monitoraggio”.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C8151A" w:rsidRDefault="00C8151A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b/>
          <w:sz w:val="24"/>
          <w:szCs w:val="24"/>
        </w:rPr>
        <w:t>Della Torre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(CETA Gorizia)</w:t>
      </w:r>
      <w:r w:rsidRPr="00F05C18">
        <w:rPr>
          <w:rFonts w:ascii="Georgia" w:hAnsi="Georgia" w:cs="Arial"/>
          <w:sz w:val="24"/>
          <w:szCs w:val="24"/>
        </w:rPr>
        <w:t xml:space="preserve"> elenca poi i risultati delle altre tre azioni che il CETA ha supportato (4.1.1, 4.2.1, 4.3.2).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C8151A" w:rsidRDefault="00C8151A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b/>
          <w:sz w:val="24"/>
          <w:szCs w:val="24"/>
        </w:rPr>
        <w:t>Boschin</w:t>
      </w:r>
      <w:r w:rsidRPr="00F05C18">
        <w:rPr>
          <w:rFonts w:ascii="Georgia" w:hAnsi="Georgia" w:cs="Arial"/>
          <w:sz w:val="24"/>
          <w:szCs w:val="24"/>
        </w:rPr>
        <w:t xml:space="preserve"> </w:t>
      </w:r>
      <w:r w:rsidR="0075490C" w:rsidRPr="00F05C18">
        <w:rPr>
          <w:rFonts w:ascii="Georgia" w:hAnsi="Georgia" w:cs="Arial"/>
          <w:b/>
          <w:sz w:val="24"/>
          <w:szCs w:val="24"/>
        </w:rPr>
        <w:t>(Italia Nostra FVG – WWF FVG)</w:t>
      </w:r>
      <w:r w:rsidR="0075490C" w:rsidRPr="00F05C18">
        <w:rPr>
          <w:rFonts w:ascii="Georgia" w:hAnsi="Georgia" w:cs="Arial"/>
          <w:sz w:val="24"/>
          <w:szCs w:val="24"/>
        </w:rPr>
        <w:t xml:space="preserve"> </w:t>
      </w:r>
      <w:r w:rsidRPr="00F05C18">
        <w:rPr>
          <w:rFonts w:ascii="Georgia" w:hAnsi="Georgia" w:cs="Arial"/>
          <w:sz w:val="24"/>
          <w:szCs w:val="24"/>
        </w:rPr>
        <w:t>controbatte tutto quanto detto finora, evidenziando che in favore dell’efficienza energetica, in questi ultimi anni è divenuta altissima la capacità della tecnologia di inserirsi nell’ambiente naturale, risultando molto spesso un elemento di disturbo dell’equilibrio ambientale.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C8151A" w:rsidRDefault="00C8151A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b/>
          <w:sz w:val="24"/>
          <w:szCs w:val="24"/>
        </w:rPr>
        <w:t>Urizio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(DC Ambiente e Energia)</w:t>
      </w:r>
      <w:r w:rsidRPr="00F05C18">
        <w:rPr>
          <w:rFonts w:ascii="Georgia" w:hAnsi="Georgia" w:cs="Arial"/>
          <w:sz w:val="24"/>
          <w:szCs w:val="24"/>
        </w:rPr>
        <w:t xml:space="preserve"> specifica, in merito all’azione 4.3.2 (Promozione dell’efficientamento energetico anche tramite teleriscaldamento e teleraffrescamento), che a livello regionale solo pochi Comuni (quelli della bassa friulana, zona ricca di falde acquifere) potrebbero usufruire dei benefici di tale azione.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C8151A" w:rsidRDefault="00217385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Corte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(Ernst &amp; Young)</w:t>
      </w:r>
      <w:r w:rsidR="00335E50" w:rsidRPr="00F05C18">
        <w:rPr>
          <w:rFonts w:ascii="Georgia" w:hAnsi="Georgia" w:cs="Arial"/>
          <w:sz w:val="24"/>
          <w:szCs w:val="24"/>
        </w:rPr>
        <w:t xml:space="preserve"> sottolinea che è fondamentale individuare le fonti rinnovabili e le tecnologie di risparmio energetico che l’Amministrazione regionale ritiene utili ed efficienti per il territorio, per evitare di disperdere conoscenza ed offrire un</w:t>
      </w:r>
      <w:r w:rsidR="00AA6737" w:rsidRPr="00F05C18">
        <w:rPr>
          <w:rFonts w:ascii="Georgia" w:hAnsi="Georgia" w:cs="Arial"/>
          <w:sz w:val="24"/>
          <w:szCs w:val="24"/>
        </w:rPr>
        <w:t xml:space="preserve"> </w:t>
      </w:r>
      <w:r w:rsidR="00335E50" w:rsidRPr="00F05C18">
        <w:rPr>
          <w:rFonts w:ascii="Georgia" w:hAnsi="Georgia" w:cs="Arial"/>
          <w:sz w:val="24"/>
          <w:szCs w:val="24"/>
        </w:rPr>
        <w:t>ventaglio troppo vasto di strumenti di intervento.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335E50" w:rsidRPr="00F05C18" w:rsidRDefault="00335E50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lastRenderedPageBreak/>
        <w:t xml:space="preserve">Concorda con la dott.ssa Cesco </w:t>
      </w:r>
      <w:r w:rsidR="00AA6737" w:rsidRPr="00F05C18">
        <w:rPr>
          <w:rFonts w:ascii="Georgia" w:hAnsi="Georgia" w:cs="Arial"/>
          <w:sz w:val="24"/>
          <w:szCs w:val="24"/>
        </w:rPr>
        <w:t>in merito al</w:t>
      </w:r>
      <w:r w:rsidRPr="00F05C18">
        <w:rPr>
          <w:rFonts w:ascii="Georgia" w:hAnsi="Georgia" w:cs="Arial"/>
          <w:sz w:val="24"/>
          <w:szCs w:val="24"/>
        </w:rPr>
        <w:t xml:space="preserve">l’opportunità di finanziare una moltitudine </w:t>
      </w:r>
      <w:r w:rsidR="00D34681" w:rsidRPr="00F05C18">
        <w:rPr>
          <w:rFonts w:ascii="Georgia" w:hAnsi="Georgia" w:cs="Arial"/>
          <w:sz w:val="24"/>
          <w:szCs w:val="24"/>
        </w:rPr>
        <w:t>di progetti a beneficio di tutto il territorio, oltre che formare operai e tecnici che seguano la funzionalità e manutengano gli impianti realizzati.</w:t>
      </w:r>
    </w:p>
    <w:p w:rsidR="001A0E85" w:rsidRPr="00F05C18" w:rsidRDefault="001A0E85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D34681" w:rsidRDefault="001A0E85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>Non vi sono altri interventi o commenti in merito all’argomento, quindi il</w:t>
      </w:r>
      <w:r w:rsidR="00AA6737" w:rsidRPr="00F05C18">
        <w:rPr>
          <w:rFonts w:ascii="Georgia" w:hAnsi="Georgia" w:cs="Arial"/>
          <w:sz w:val="24"/>
          <w:szCs w:val="24"/>
        </w:rPr>
        <w:t xml:space="preserve"> rappresentante dell’AT chiede </w:t>
      </w:r>
      <w:r w:rsidRPr="00F05C18">
        <w:rPr>
          <w:rFonts w:ascii="Georgia" w:hAnsi="Georgia" w:cs="Arial"/>
          <w:sz w:val="24"/>
          <w:szCs w:val="24"/>
        </w:rPr>
        <w:t xml:space="preserve">all’arch. </w:t>
      </w:r>
      <w:r w:rsidRPr="00F05C18">
        <w:rPr>
          <w:rFonts w:ascii="Georgia" w:hAnsi="Georgia" w:cs="Arial"/>
          <w:b/>
          <w:sz w:val="24"/>
          <w:szCs w:val="24"/>
        </w:rPr>
        <w:t>Pozzecco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(DC Infrastrutture)</w:t>
      </w:r>
      <w:r w:rsidRPr="00F05C18">
        <w:rPr>
          <w:rFonts w:ascii="Georgia" w:hAnsi="Georgia" w:cs="Arial"/>
          <w:sz w:val="24"/>
          <w:szCs w:val="24"/>
        </w:rPr>
        <w:t xml:space="preserve"> di introdurre la terza azione proposta, relativ</w:t>
      </w:r>
      <w:r w:rsidR="005B593E">
        <w:rPr>
          <w:rFonts w:ascii="Georgia" w:hAnsi="Georgia" w:cs="Arial"/>
          <w:sz w:val="24"/>
          <w:szCs w:val="24"/>
        </w:rPr>
        <w:t xml:space="preserve">a al programma straordinario di </w:t>
      </w:r>
      <w:r w:rsidRPr="00F05C18">
        <w:rPr>
          <w:rFonts w:ascii="Georgia" w:hAnsi="Georgia" w:cs="Arial"/>
          <w:sz w:val="24"/>
          <w:szCs w:val="24"/>
        </w:rPr>
        <w:t>efficientamento energetico degli edifici scolastici.</w:t>
      </w:r>
      <w:r w:rsidR="005B593E">
        <w:rPr>
          <w:rFonts w:ascii="Georgia" w:hAnsi="Georgia" w:cs="Arial"/>
          <w:sz w:val="24"/>
          <w:szCs w:val="24"/>
        </w:rPr>
        <w:t xml:space="preserve"> Con riferimento a quanto suddetto, </w:t>
      </w:r>
      <w:r w:rsidR="001214B4" w:rsidRPr="00F05C18">
        <w:rPr>
          <w:rFonts w:ascii="Georgia" w:hAnsi="Georgia" w:cs="Arial"/>
          <w:sz w:val="24"/>
          <w:szCs w:val="24"/>
        </w:rPr>
        <w:t>indica che vi sono sul territorio regionale circa 1.000 edifici che potrebbero beneficiare dell’intervento e che la facile cantierabilità è un elemento di forza per la spesa dell’azione.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214B4" w:rsidRDefault="001214B4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="001C58CB" w:rsidRPr="00F05C18">
        <w:rPr>
          <w:rFonts w:ascii="Georgia" w:hAnsi="Georgia" w:cs="Arial"/>
          <w:b/>
          <w:sz w:val="24"/>
          <w:szCs w:val="24"/>
        </w:rPr>
        <w:t>Gub</w:t>
      </w:r>
      <w:r w:rsidRPr="00F05C18">
        <w:rPr>
          <w:rFonts w:ascii="Georgia" w:hAnsi="Georgia" w:cs="Arial"/>
          <w:b/>
          <w:sz w:val="24"/>
          <w:szCs w:val="24"/>
        </w:rPr>
        <w:t>iani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(Università di Udine)</w:t>
      </w:r>
      <w:r w:rsidRPr="00F05C18">
        <w:rPr>
          <w:rFonts w:ascii="Georgia" w:hAnsi="Georgia" w:cs="Arial"/>
          <w:sz w:val="24"/>
          <w:szCs w:val="24"/>
        </w:rPr>
        <w:t xml:space="preserve"> interviene </w:t>
      </w:r>
      <w:r w:rsidR="00721B6E" w:rsidRPr="001823D4">
        <w:rPr>
          <w:rFonts w:ascii="Georgia" w:hAnsi="Georgia" w:cs="Arial"/>
          <w:sz w:val="24"/>
          <w:szCs w:val="24"/>
        </w:rPr>
        <w:t xml:space="preserve">chiedendo se sono state valutate le possibilità di eventuali </w:t>
      </w:r>
      <w:r w:rsidRPr="00F05C18">
        <w:rPr>
          <w:rFonts w:ascii="Georgia" w:hAnsi="Georgia" w:cs="Arial"/>
          <w:sz w:val="24"/>
          <w:szCs w:val="24"/>
        </w:rPr>
        <w:t>azioni rivolte alla mobilità scolastica, per ridurre il traffico e la congestione derivante dallo spostamento casa-scuola-casa</w:t>
      </w:r>
      <w:r w:rsidR="00C75507">
        <w:rPr>
          <w:rFonts w:ascii="Georgia" w:hAnsi="Georgia" w:cs="Arial"/>
          <w:sz w:val="24"/>
          <w:szCs w:val="24"/>
        </w:rPr>
        <w:t xml:space="preserve"> </w:t>
      </w:r>
      <w:r w:rsidR="00C75507" w:rsidRPr="001823D4">
        <w:rPr>
          <w:rFonts w:ascii="Georgia" w:hAnsi="Georgia" w:cs="Arial"/>
          <w:sz w:val="24"/>
          <w:szCs w:val="24"/>
        </w:rPr>
        <w:t>che causano un elevato consumo energetico di carburante</w:t>
      </w:r>
      <w:r w:rsidRPr="00F05C18">
        <w:rPr>
          <w:rFonts w:ascii="Georgia" w:hAnsi="Georgia" w:cs="Arial"/>
          <w:sz w:val="24"/>
          <w:szCs w:val="24"/>
        </w:rPr>
        <w:t>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214B4" w:rsidRDefault="001214B4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L’arch. </w:t>
      </w:r>
      <w:r w:rsidRPr="00F05C18">
        <w:rPr>
          <w:rFonts w:ascii="Georgia" w:hAnsi="Georgia" w:cs="Arial"/>
          <w:b/>
          <w:sz w:val="24"/>
          <w:szCs w:val="24"/>
        </w:rPr>
        <w:t>Pozzecco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(DC Infrastrutture)</w:t>
      </w:r>
      <w:r w:rsidRPr="00F05C18">
        <w:rPr>
          <w:rFonts w:ascii="Georgia" w:hAnsi="Georgia" w:cs="Arial"/>
          <w:sz w:val="24"/>
          <w:szCs w:val="24"/>
        </w:rPr>
        <w:t xml:space="preserve"> controbatte dicendo che questo non rientra nell’Obiettivo Tematico del tavolo, perlomeno non per quel che concerne il numero di veicoli circolanti.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D34681" w:rsidRDefault="001214B4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La dott.ssa </w:t>
      </w:r>
      <w:r w:rsidRPr="00F05C18">
        <w:rPr>
          <w:rFonts w:ascii="Georgia" w:hAnsi="Georgia" w:cs="Arial"/>
          <w:b/>
          <w:sz w:val="24"/>
          <w:szCs w:val="24"/>
        </w:rPr>
        <w:t>Stefanelli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(Servizio Energia – Autorità Ambientale)</w:t>
      </w:r>
      <w:r w:rsidR="001C58CB" w:rsidRPr="00F05C18">
        <w:rPr>
          <w:rFonts w:ascii="Georgia" w:hAnsi="Georgia" w:cs="Arial"/>
          <w:sz w:val="24"/>
          <w:szCs w:val="24"/>
        </w:rPr>
        <w:t>, replicando a Gub</w:t>
      </w:r>
      <w:r w:rsidRPr="00F05C18">
        <w:rPr>
          <w:rFonts w:ascii="Georgia" w:hAnsi="Georgia" w:cs="Arial"/>
          <w:sz w:val="24"/>
          <w:szCs w:val="24"/>
        </w:rPr>
        <w:t>iani, sottolinea che il suo servizio aveva proposto una sched</w:t>
      </w:r>
      <w:bookmarkStart w:id="0" w:name="_GoBack"/>
      <w:bookmarkEnd w:id="0"/>
      <w:r w:rsidRPr="00F05C18">
        <w:rPr>
          <w:rFonts w:ascii="Georgia" w:hAnsi="Georgia" w:cs="Arial"/>
          <w:sz w:val="24"/>
          <w:szCs w:val="24"/>
        </w:rPr>
        <w:t>a relativa alla mobilità sostenibile, che però dai risultati della consultazione online non aveva raccolto</w:t>
      </w:r>
      <w:r w:rsidR="0025081C" w:rsidRPr="00F05C18">
        <w:rPr>
          <w:rFonts w:ascii="Georgia" w:hAnsi="Georgia" w:cs="Arial"/>
          <w:sz w:val="24"/>
          <w:szCs w:val="24"/>
        </w:rPr>
        <w:t xml:space="preserve"> grandi consensi (Azione 4.5.2).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25081C" w:rsidRPr="00F05C18" w:rsidRDefault="0025081C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Della Torre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(CETA Gorizia)</w:t>
      </w:r>
      <w:r w:rsidRPr="00F05C18">
        <w:rPr>
          <w:rFonts w:ascii="Georgia" w:hAnsi="Georgia" w:cs="Arial"/>
          <w:sz w:val="24"/>
          <w:szCs w:val="24"/>
        </w:rPr>
        <w:t xml:space="preserve"> asserisce che è un peccato non puntare sulla mobilità sostenibile e, citando il caso del centro storico di Bologna, indica che in regione vi sono molte città con centri storici di pregio artistico e culturale e l’iniziativa sarebbe di successo e vantaggiosa.</w:t>
      </w:r>
    </w:p>
    <w:p w:rsidR="0025081C" w:rsidRPr="00F05C18" w:rsidRDefault="0025081C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Morea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(AREA Science Park Trieste)</w:t>
      </w:r>
      <w:r w:rsidRPr="00F05C18">
        <w:rPr>
          <w:rFonts w:ascii="Georgia" w:hAnsi="Georgia" w:cs="Arial"/>
          <w:sz w:val="24"/>
          <w:szCs w:val="24"/>
        </w:rPr>
        <w:t xml:space="preserve"> </w:t>
      </w:r>
      <w:r w:rsidR="00AA6737" w:rsidRPr="00F05C18">
        <w:rPr>
          <w:rFonts w:ascii="Georgia" w:hAnsi="Georgia" w:cs="Arial"/>
          <w:sz w:val="24"/>
          <w:szCs w:val="24"/>
        </w:rPr>
        <w:t>evidenzia</w:t>
      </w:r>
      <w:r w:rsidRPr="00F05C18">
        <w:rPr>
          <w:rFonts w:ascii="Georgia" w:hAnsi="Georgia" w:cs="Arial"/>
          <w:sz w:val="24"/>
          <w:szCs w:val="24"/>
        </w:rPr>
        <w:t xml:space="preserve"> che le migliorie l</w:t>
      </w:r>
      <w:r w:rsidR="006A343E">
        <w:rPr>
          <w:rFonts w:ascii="Georgia" w:hAnsi="Georgia" w:cs="Arial"/>
          <w:sz w:val="24"/>
          <w:szCs w:val="24"/>
        </w:rPr>
        <w:t xml:space="preserve">egate all’efficienza energetica vengono fatte dalla </w:t>
      </w:r>
      <w:r w:rsidRPr="00F05C18">
        <w:rPr>
          <w:rFonts w:ascii="Georgia" w:hAnsi="Georgia" w:cs="Arial"/>
          <w:sz w:val="24"/>
          <w:szCs w:val="24"/>
        </w:rPr>
        <w:t>Consip e chiede pertanto all’Amministrazione di considerare la creazione di strumenti di cofinanziamento con il MEF che consentano di massimizzare i risultati.</w:t>
      </w:r>
    </w:p>
    <w:p w:rsidR="0025081C" w:rsidRDefault="0025081C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La dott.ssa </w:t>
      </w:r>
      <w:r w:rsidRPr="00F05C18">
        <w:rPr>
          <w:rFonts w:ascii="Georgia" w:hAnsi="Georgia" w:cs="Arial"/>
          <w:b/>
          <w:sz w:val="24"/>
          <w:szCs w:val="24"/>
        </w:rPr>
        <w:t>Monaco</w:t>
      </w:r>
      <w:r w:rsidR="0075490C" w:rsidRPr="00F05C18">
        <w:rPr>
          <w:rFonts w:ascii="Georgia" w:hAnsi="Georgia" w:cs="Arial"/>
          <w:b/>
          <w:sz w:val="24"/>
          <w:szCs w:val="24"/>
        </w:rPr>
        <w:t xml:space="preserve"> (AREA Science Park Trieste)</w:t>
      </w:r>
      <w:r w:rsidRPr="00F05C18">
        <w:rPr>
          <w:rFonts w:ascii="Georgia" w:hAnsi="Georgia" w:cs="Arial"/>
          <w:sz w:val="24"/>
          <w:szCs w:val="24"/>
        </w:rPr>
        <w:t xml:space="preserve"> indica invece l’importanza del monitoraggio degli interventi di efficientamento energetico affinchè, a livello sperimentale/di ricerca e sviluppo</w:t>
      </w:r>
      <w:r w:rsidR="00AA6737" w:rsidRPr="00F05C18">
        <w:rPr>
          <w:rFonts w:ascii="Georgia" w:hAnsi="Georgia" w:cs="Arial"/>
          <w:sz w:val="24"/>
          <w:szCs w:val="24"/>
        </w:rPr>
        <w:t>,</w:t>
      </w:r>
      <w:r w:rsidRPr="00F05C18">
        <w:rPr>
          <w:rFonts w:ascii="Georgia" w:hAnsi="Georgia" w:cs="Arial"/>
          <w:sz w:val="24"/>
          <w:szCs w:val="24"/>
        </w:rPr>
        <w:t xml:space="preserve"> ci sia la possibilità della replicazione e capitalizzazione delle tecnologie.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25081C" w:rsidRDefault="0025081C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Lughi</w:t>
      </w:r>
      <w:r w:rsidR="00657E74" w:rsidRPr="00F05C18">
        <w:rPr>
          <w:rFonts w:ascii="Georgia" w:hAnsi="Georgia" w:cs="Arial"/>
          <w:sz w:val="24"/>
          <w:szCs w:val="24"/>
        </w:rPr>
        <w:t xml:space="preserve"> </w:t>
      </w:r>
      <w:r w:rsidR="00E23A1C" w:rsidRPr="00F05C18">
        <w:rPr>
          <w:rFonts w:ascii="Georgia" w:hAnsi="Georgia" w:cs="Arial"/>
          <w:b/>
          <w:sz w:val="24"/>
          <w:szCs w:val="24"/>
        </w:rPr>
        <w:t>(Università di Trieste)</w:t>
      </w:r>
      <w:r w:rsidR="00E23A1C" w:rsidRPr="00F05C18">
        <w:rPr>
          <w:rFonts w:ascii="Georgia" w:hAnsi="Georgia" w:cs="Arial"/>
          <w:sz w:val="24"/>
          <w:szCs w:val="24"/>
        </w:rPr>
        <w:t xml:space="preserve"> </w:t>
      </w:r>
      <w:r w:rsidR="00657E74" w:rsidRPr="00F05C18">
        <w:rPr>
          <w:rFonts w:ascii="Georgia" w:hAnsi="Georgia" w:cs="Arial"/>
          <w:sz w:val="24"/>
          <w:szCs w:val="24"/>
        </w:rPr>
        <w:t xml:space="preserve">chiede all’arch. Pozzecco il perché non è possibile intervenire anche sugli edifici universitari. L’arch. </w:t>
      </w:r>
      <w:r w:rsidR="00657E74" w:rsidRPr="00F05C18">
        <w:rPr>
          <w:rFonts w:ascii="Georgia" w:hAnsi="Georgia" w:cs="Arial"/>
          <w:b/>
          <w:sz w:val="24"/>
          <w:szCs w:val="24"/>
        </w:rPr>
        <w:t>Pozzecco</w:t>
      </w:r>
      <w:r w:rsidR="00657E74" w:rsidRPr="00F05C18">
        <w:rPr>
          <w:rFonts w:ascii="Georgia" w:hAnsi="Georgia" w:cs="Arial"/>
          <w:sz w:val="24"/>
          <w:szCs w:val="24"/>
        </w:rPr>
        <w:t xml:space="preserve"> risponde che le università regionali, come anche i conservatori, dal punto di vista edilizio vengono gestiti dall’amministrazione con altri fondi e leggi regionali.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657E74" w:rsidRDefault="00657E74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Lughi</w:t>
      </w:r>
      <w:r w:rsidR="00E23A1C" w:rsidRPr="00F05C18">
        <w:rPr>
          <w:rFonts w:ascii="Georgia" w:hAnsi="Georgia" w:cs="Arial"/>
          <w:b/>
          <w:sz w:val="24"/>
          <w:szCs w:val="24"/>
        </w:rPr>
        <w:t xml:space="preserve"> (Università di Trieste)</w:t>
      </w:r>
      <w:r w:rsidRPr="00F05C18">
        <w:rPr>
          <w:rFonts w:ascii="Georgia" w:hAnsi="Georgia" w:cs="Arial"/>
          <w:sz w:val="24"/>
          <w:szCs w:val="24"/>
        </w:rPr>
        <w:t xml:space="preserve"> sottolinea l’importanza di puntare su tecnologie indipendenti dalla tecnologia stessa, cioè qualificare più i risultati ottenuti piuttosto che premiare la tecnologia adottata.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657E74" w:rsidRDefault="00657E74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La dott.ssa </w:t>
      </w:r>
      <w:r w:rsidRPr="00F05C18">
        <w:rPr>
          <w:rFonts w:ascii="Georgia" w:hAnsi="Georgia" w:cs="Arial"/>
          <w:b/>
          <w:sz w:val="24"/>
          <w:szCs w:val="24"/>
        </w:rPr>
        <w:t>Vellico (OGS)</w:t>
      </w:r>
      <w:r w:rsidRPr="00F05C18">
        <w:rPr>
          <w:rFonts w:ascii="Georgia" w:hAnsi="Georgia" w:cs="Arial"/>
          <w:sz w:val="24"/>
          <w:szCs w:val="24"/>
        </w:rPr>
        <w:t xml:space="preserve"> evidenzia che in regione non è presente un </w:t>
      </w:r>
      <w:r w:rsidRPr="00F05C18">
        <w:rPr>
          <w:rFonts w:ascii="Georgia" w:hAnsi="Georgia" w:cs="Arial"/>
          <w:i/>
          <w:sz w:val="24"/>
          <w:szCs w:val="24"/>
        </w:rPr>
        <w:t>inventory</w:t>
      </w:r>
      <w:r w:rsidRPr="00F05C18">
        <w:rPr>
          <w:rFonts w:ascii="Georgia" w:hAnsi="Georgia" w:cs="Arial"/>
          <w:sz w:val="24"/>
          <w:szCs w:val="24"/>
        </w:rPr>
        <w:t xml:space="preserve"> attuabile alle sedi produttive ed ai centri urbani che sia realmente sostenibile ed efficiente. Sulla scorta delle proposte di Morea e Monaco suggerisce l’importanza di un sistema di telerilevamento dei dati per monitorare l’efficienza degli impianti realizzati.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657E74" w:rsidRDefault="00657E74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lastRenderedPageBreak/>
        <w:t xml:space="preserve">La dott.ssa </w:t>
      </w:r>
      <w:r w:rsidRPr="00F05C18">
        <w:rPr>
          <w:rFonts w:ascii="Georgia" w:hAnsi="Georgia" w:cs="Arial"/>
          <w:b/>
          <w:sz w:val="24"/>
          <w:szCs w:val="24"/>
        </w:rPr>
        <w:t>Cesco (Comune di Trieste)</w:t>
      </w:r>
      <w:r w:rsidRPr="00F05C18">
        <w:rPr>
          <w:rFonts w:ascii="Georgia" w:hAnsi="Georgia" w:cs="Arial"/>
          <w:sz w:val="24"/>
          <w:szCs w:val="24"/>
        </w:rPr>
        <w:t xml:space="preserve"> cita a tal proposito il PAES, il patto tra i sindaci</w:t>
      </w:r>
      <w:r w:rsidR="001C58CB" w:rsidRPr="00F05C18">
        <w:rPr>
          <w:rFonts w:ascii="Georgia" w:hAnsi="Georgia" w:cs="Arial"/>
          <w:sz w:val="24"/>
          <w:szCs w:val="24"/>
        </w:rPr>
        <w:t>, che mira all’abbattimento delle emissioni di CO2 attraverso il monitoraggio continuo.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C58CB" w:rsidRDefault="001C58CB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Anche il dott. </w:t>
      </w:r>
      <w:r w:rsidRPr="00F05C18">
        <w:rPr>
          <w:rFonts w:ascii="Georgia" w:hAnsi="Georgia" w:cs="Arial"/>
          <w:b/>
          <w:sz w:val="24"/>
          <w:szCs w:val="24"/>
        </w:rPr>
        <w:t>Tonetto (Provincia di Udine)</w:t>
      </w:r>
      <w:r w:rsidRPr="00F05C18">
        <w:rPr>
          <w:rFonts w:ascii="Georgia" w:hAnsi="Georgia" w:cs="Arial"/>
          <w:sz w:val="24"/>
          <w:szCs w:val="24"/>
        </w:rPr>
        <w:t xml:space="preserve"> è d’accordo sul monitoraggio continuo delle emissioni e/o dell’efficienza energetica.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C58CB" w:rsidRDefault="001C58CB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Mattiussi (Confindustria Udine)</w:t>
      </w:r>
      <w:r w:rsidRPr="00F05C18">
        <w:rPr>
          <w:rFonts w:ascii="Georgia" w:hAnsi="Georgia" w:cs="Arial"/>
          <w:sz w:val="24"/>
          <w:szCs w:val="24"/>
        </w:rPr>
        <w:t>, da parte sua, indica che gli interventi “di piccolo taglio” non sono stati nemmeno presi in considerazione in ambito industriale, in quanto poco incidenti a livello di risparmio energetico.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C58CB" w:rsidRDefault="001C58CB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Della Torre (CETA Gorizia)</w:t>
      </w:r>
      <w:r w:rsidRPr="00F05C18">
        <w:rPr>
          <w:rFonts w:ascii="Georgia" w:hAnsi="Georgia" w:cs="Arial"/>
          <w:sz w:val="24"/>
          <w:szCs w:val="24"/>
        </w:rPr>
        <w:t>, controbattendo il Mattiussi, riporta l’esperienza del Carbon Foot Print ed evidenzia il fatto che, ad esempio, la coibentazione di un involucro edile può essere fatta con materiali ecosostenibili e con tecnologie a basso impatto ambientale.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1C58CB" w:rsidRPr="00721B6E" w:rsidRDefault="001C58CB" w:rsidP="00925759">
      <w:pPr>
        <w:spacing w:after="0" w:line="240" w:lineRule="auto"/>
        <w:jc w:val="both"/>
        <w:rPr>
          <w:rFonts w:ascii="Georgia" w:hAnsi="Georgia" w:cs="Arial"/>
          <w:color w:val="FF0000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Il dott. </w:t>
      </w:r>
      <w:r w:rsidRPr="00F05C18">
        <w:rPr>
          <w:rFonts w:ascii="Georgia" w:hAnsi="Georgia" w:cs="Arial"/>
          <w:b/>
          <w:sz w:val="24"/>
          <w:szCs w:val="24"/>
        </w:rPr>
        <w:t>Gubiani (Università di Udine)</w:t>
      </w:r>
      <w:r w:rsidR="004F24CB">
        <w:rPr>
          <w:rFonts w:ascii="Georgia" w:hAnsi="Georgia" w:cs="Arial"/>
          <w:sz w:val="24"/>
          <w:szCs w:val="24"/>
        </w:rPr>
        <w:t xml:space="preserve"> </w:t>
      </w:r>
      <w:r w:rsidR="00721B6E" w:rsidRPr="001823D4">
        <w:rPr>
          <w:rFonts w:ascii="Georgia" w:hAnsi="Georgia" w:cs="Arial"/>
          <w:sz w:val="24"/>
          <w:szCs w:val="24"/>
        </w:rPr>
        <w:t>interviene chiedendo perché non ci sia nessuna azione</w:t>
      </w:r>
      <w:r w:rsidR="00721B6E">
        <w:rPr>
          <w:rFonts w:ascii="Georgia" w:hAnsi="Georgia" w:cs="Arial"/>
          <w:sz w:val="24"/>
          <w:szCs w:val="24"/>
        </w:rPr>
        <w:t xml:space="preserve"> rivolta</w:t>
      </w:r>
      <w:r w:rsidRPr="00F05C18">
        <w:rPr>
          <w:rFonts w:ascii="Georgia" w:hAnsi="Georgia" w:cs="Arial"/>
          <w:sz w:val="24"/>
          <w:szCs w:val="24"/>
        </w:rPr>
        <w:t xml:space="preserve"> alle piattaforme logistiche</w:t>
      </w:r>
      <w:r w:rsidR="000271A7" w:rsidRPr="00F05C18">
        <w:rPr>
          <w:rFonts w:ascii="Georgia" w:hAnsi="Georgia" w:cs="Arial"/>
          <w:sz w:val="24"/>
          <w:szCs w:val="24"/>
        </w:rPr>
        <w:t xml:space="preserve"> </w:t>
      </w:r>
      <w:r w:rsidR="00721B6E" w:rsidRPr="001823D4">
        <w:rPr>
          <w:rFonts w:ascii="Georgia" w:hAnsi="Georgia" w:cs="Arial"/>
          <w:sz w:val="24"/>
          <w:szCs w:val="24"/>
        </w:rPr>
        <w:t>per un maggiore sfruttamento delle biomasse boschive o azione rivolte ad un</w:t>
      </w:r>
      <w:r w:rsidR="00721B6E">
        <w:rPr>
          <w:rFonts w:ascii="Georgia" w:hAnsi="Georgia" w:cs="Arial"/>
          <w:sz w:val="24"/>
          <w:szCs w:val="24"/>
        </w:rPr>
        <w:t xml:space="preserve"> incremento</w:t>
      </w:r>
      <w:r w:rsidR="000271A7" w:rsidRPr="00F05C18">
        <w:rPr>
          <w:rFonts w:ascii="Georgia" w:hAnsi="Georgia" w:cs="Arial"/>
          <w:sz w:val="24"/>
          <w:szCs w:val="24"/>
        </w:rPr>
        <w:t xml:space="preserve"> </w:t>
      </w:r>
      <w:r w:rsidR="00721B6E">
        <w:rPr>
          <w:rFonts w:ascii="Georgia" w:hAnsi="Georgia" w:cs="Arial"/>
          <w:sz w:val="24"/>
          <w:szCs w:val="24"/>
        </w:rPr>
        <w:t>deg</w:t>
      </w:r>
      <w:r w:rsidR="000271A7" w:rsidRPr="00F05C18">
        <w:rPr>
          <w:rFonts w:ascii="Georgia" w:hAnsi="Georgia" w:cs="Arial"/>
          <w:sz w:val="24"/>
          <w:szCs w:val="24"/>
        </w:rPr>
        <w:t xml:space="preserve">li interventi </w:t>
      </w:r>
      <w:r w:rsidR="00721B6E" w:rsidRPr="001823D4">
        <w:rPr>
          <w:rFonts w:ascii="Georgia" w:hAnsi="Georgia" w:cs="Arial"/>
          <w:sz w:val="24"/>
          <w:szCs w:val="24"/>
        </w:rPr>
        <w:t>per centrali a biomassa di piccola taglia per uso familiare allo scopo di aumentare l’efficienza rispetto all’attuale parco caldaie che in genere hanno una bassa efficienza</w:t>
      </w:r>
      <w:r w:rsidR="000271A7" w:rsidRPr="00F05C18">
        <w:rPr>
          <w:rFonts w:ascii="Georgia" w:hAnsi="Georgia" w:cs="Arial"/>
          <w:sz w:val="24"/>
          <w:szCs w:val="24"/>
        </w:rPr>
        <w:t xml:space="preserve">, piuttosto che puntare </w:t>
      </w:r>
      <w:r w:rsidR="00721B6E" w:rsidRPr="001823D4">
        <w:rPr>
          <w:rFonts w:ascii="Georgia" w:hAnsi="Georgia" w:cs="Arial"/>
          <w:sz w:val="24"/>
          <w:szCs w:val="24"/>
        </w:rPr>
        <w:t xml:space="preserve">solo all’isolamento </w:t>
      </w:r>
      <w:r w:rsidR="000271A7" w:rsidRPr="001823D4">
        <w:rPr>
          <w:rFonts w:ascii="Georgia" w:hAnsi="Georgia" w:cs="Arial"/>
          <w:sz w:val="24"/>
          <w:szCs w:val="24"/>
        </w:rPr>
        <w:t>degli involucri edili</w:t>
      </w:r>
      <w:r w:rsidR="00C75507" w:rsidRPr="001823D4">
        <w:rPr>
          <w:rFonts w:ascii="Georgia" w:hAnsi="Georgia" w:cs="Arial"/>
          <w:sz w:val="24"/>
          <w:szCs w:val="24"/>
        </w:rPr>
        <w:t>,</w:t>
      </w:r>
      <w:r w:rsidR="00721B6E">
        <w:rPr>
          <w:rFonts w:ascii="Georgia" w:hAnsi="Georgia" w:cs="Arial"/>
          <w:sz w:val="24"/>
          <w:szCs w:val="24"/>
        </w:rPr>
        <w:t xml:space="preserve"> </w:t>
      </w:r>
      <w:r w:rsidR="00721B6E" w:rsidRPr="001823D4">
        <w:rPr>
          <w:rFonts w:ascii="Georgia" w:hAnsi="Georgia" w:cs="Arial"/>
          <w:sz w:val="24"/>
          <w:szCs w:val="24"/>
        </w:rPr>
        <w:t>comunque non sempre conseguibili in tutti i vecchi edifici in modo efficiente</w:t>
      </w:r>
      <w:r w:rsidR="000271A7" w:rsidRPr="001823D4">
        <w:rPr>
          <w:rFonts w:ascii="Georgia" w:hAnsi="Georgia" w:cs="Arial"/>
          <w:sz w:val="24"/>
          <w:szCs w:val="24"/>
        </w:rPr>
        <w:t>.</w:t>
      </w:r>
    </w:p>
    <w:p w:rsidR="00CD3056" w:rsidRPr="00F05C18" w:rsidRDefault="00CD3056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0271A7" w:rsidRPr="00F05C18" w:rsidRDefault="000271A7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F05C18">
        <w:rPr>
          <w:rFonts w:ascii="Georgia" w:hAnsi="Georgia" w:cs="Arial"/>
          <w:sz w:val="24"/>
          <w:szCs w:val="24"/>
        </w:rPr>
        <w:t xml:space="preserve">Risponde prontamente la dott.ssa </w:t>
      </w:r>
      <w:r w:rsidRPr="00F05C18">
        <w:rPr>
          <w:rFonts w:ascii="Georgia" w:hAnsi="Georgia" w:cs="Arial"/>
          <w:b/>
          <w:sz w:val="24"/>
          <w:szCs w:val="24"/>
        </w:rPr>
        <w:t>Stefanelli (Autorità Ambientale)</w:t>
      </w:r>
      <w:r w:rsidRPr="00F05C18">
        <w:rPr>
          <w:rFonts w:ascii="Georgia" w:hAnsi="Georgia" w:cs="Arial"/>
          <w:sz w:val="24"/>
          <w:szCs w:val="24"/>
        </w:rPr>
        <w:t xml:space="preserve"> dicendo che le piattaforme logistiche e le biomasse rientrano negli obiettivi del PSR.</w:t>
      </w:r>
    </w:p>
    <w:p w:rsidR="000271A7" w:rsidRDefault="000271A7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32216E" w:rsidRDefault="0032216E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32216E" w:rsidRPr="005745C5" w:rsidRDefault="00A064CF" w:rsidP="0032216E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Il referente dell’a</w:t>
      </w:r>
      <w:r w:rsidR="0032216E">
        <w:rPr>
          <w:rFonts w:ascii="Georgia" w:hAnsi="Georgia" w:cs="Arial"/>
          <w:sz w:val="24"/>
          <w:szCs w:val="24"/>
        </w:rPr>
        <w:t>ss</w:t>
      </w:r>
      <w:r w:rsidR="00294B9C">
        <w:rPr>
          <w:rFonts w:ascii="Georgia" w:hAnsi="Georgia" w:cs="Arial"/>
          <w:sz w:val="24"/>
          <w:szCs w:val="24"/>
        </w:rPr>
        <w:t>istenza tecnica chiude i lavori alle ore 16:45.</w:t>
      </w:r>
    </w:p>
    <w:p w:rsidR="0032216E" w:rsidRPr="00F05C18" w:rsidRDefault="0032216E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0271A7" w:rsidRPr="00F05C18" w:rsidRDefault="000271A7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0271A7" w:rsidRPr="00F05C18" w:rsidRDefault="000271A7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0271A7" w:rsidRPr="00F05C18" w:rsidRDefault="000271A7" w:rsidP="00925759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sectPr w:rsidR="000271A7" w:rsidRPr="00F05C18" w:rsidSect="00DF7AB8">
      <w:footerReference w:type="default" r:id="rId8"/>
      <w:pgSz w:w="11906" w:h="16838"/>
      <w:pgMar w:top="1417" w:right="1134" w:bottom="1134" w:left="1134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F2E" w:rsidRDefault="00711F2E" w:rsidP="00DF7AB8">
      <w:pPr>
        <w:spacing w:after="0" w:line="240" w:lineRule="auto"/>
      </w:pPr>
      <w:r>
        <w:separator/>
      </w:r>
    </w:p>
  </w:endnote>
  <w:endnote w:type="continuationSeparator" w:id="0">
    <w:p w:rsidR="00711F2E" w:rsidRDefault="00711F2E" w:rsidP="00DF7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445062"/>
      <w:docPartObj>
        <w:docPartGallery w:val="Page Numbers (Bottom of Page)"/>
        <w:docPartUnique/>
      </w:docPartObj>
    </w:sdtPr>
    <w:sdtEndPr>
      <w:rPr>
        <w:rFonts w:ascii="Georgia" w:hAnsi="Georgia"/>
        <w:sz w:val="24"/>
        <w:szCs w:val="24"/>
      </w:rPr>
    </w:sdtEndPr>
    <w:sdtContent>
      <w:p w:rsidR="00AA6737" w:rsidRPr="00F05C18" w:rsidRDefault="00CC3100">
        <w:pPr>
          <w:pStyle w:val="Footer"/>
          <w:jc w:val="right"/>
          <w:rPr>
            <w:rFonts w:ascii="Georgia" w:hAnsi="Georgia"/>
            <w:sz w:val="24"/>
            <w:szCs w:val="24"/>
          </w:rPr>
        </w:pPr>
        <w:r w:rsidRPr="00F05C18">
          <w:rPr>
            <w:rFonts w:ascii="Georgia" w:hAnsi="Georgia"/>
            <w:sz w:val="24"/>
            <w:szCs w:val="24"/>
          </w:rPr>
          <w:fldChar w:fldCharType="begin"/>
        </w:r>
        <w:r w:rsidR="00AA6737" w:rsidRPr="00F05C18">
          <w:rPr>
            <w:rFonts w:ascii="Georgia" w:hAnsi="Georgia"/>
            <w:sz w:val="24"/>
            <w:szCs w:val="24"/>
          </w:rPr>
          <w:instrText>PAGE   \* MERGEFORMAT</w:instrText>
        </w:r>
        <w:r w:rsidRPr="00F05C18">
          <w:rPr>
            <w:rFonts w:ascii="Georgia" w:hAnsi="Georgia"/>
            <w:sz w:val="24"/>
            <w:szCs w:val="24"/>
          </w:rPr>
          <w:fldChar w:fldCharType="separate"/>
        </w:r>
        <w:r w:rsidR="001823D4">
          <w:rPr>
            <w:rFonts w:ascii="Georgia" w:hAnsi="Georgia"/>
            <w:noProof/>
            <w:sz w:val="24"/>
            <w:szCs w:val="24"/>
          </w:rPr>
          <w:t>4</w:t>
        </w:r>
        <w:r w:rsidRPr="00F05C18">
          <w:rPr>
            <w:rFonts w:ascii="Georgia" w:hAnsi="Georgia"/>
            <w:sz w:val="24"/>
            <w:szCs w:val="24"/>
          </w:rPr>
          <w:fldChar w:fldCharType="end"/>
        </w:r>
      </w:p>
    </w:sdtContent>
  </w:sdt>
  <w:p w:rsidR="00DF7AB8" w:rsidRDefault="00DF7A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F2E" w:rsidRDefault="00711F2E" w:rsidP="00DF7AB8">
      <w:pPr>
        <w:spacing w:after="0" w:line="240" w:lineRule="auto"/>
      </w:pPr>
      <w:r>
        <w:separator/>
      </w:r>
    </w:p>
  </w:footnote>
  <w:footnote w:type="continuationSeparator" w:id="0">
    <w:p w:rsidR="00711F2E" w:rsidRDefault="00711F2E" w:rsidP="00DF7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362F"/>
    <w:multiLevelType w:val="hybridMultilevel"/>
    <w:tmpl w:val="DEFE61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A3C1D"/>
    <w:multiLevelType w:val="hybridMultilevel"/>
    <w:tmpl w:val="CFF6C6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D1EB5"/>
    <w:multiLevelType w:val="hybridMultilevel"/>
    <w:tmpl w:val="0F9AF0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44705"/>
    <w:multiLevelType w:val="hybridMultilevel"/>
    <w:tmpl w:val="51E0785C"/>
    <w:lvl w:ilvl="0" w:tplc="1EE229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13"/>
    <w:rsid w:val="000271A7"/>
    <w:rsid w:val="000913D3"/>
    <w:rsid w:val="000C4AC4"/>
    <w:rsid w:val="001214B4"/>
    <w:rsid w:val="0013486D"/>
    <w:rsid w:val="001823D4"/>
    <w:rsid w:val="001A0E85"/>
    <w:rsid w:val="001C58CB"/>
    <w:rsid w:val="00203D8B"/>
    <w:rsid w:val="00217385"/>
    <w:rsid w:val="0025081C"/>
    <w:rsid w:val="0025212D"/>
    <w:rsid w:val="00267E8D"/>
    <w:rsid w:val="00294B9C"/>
    <w:rsid w:val="002B7CA0"/>
    <w:rsid w:val="0032216E"/>
    <w:rsid w:val="00331302"/>
    <w:rsid w:val="00335E50"/>
    <w:rsid w:val="00366613"/>
    <w:rsid w:val="003B704B"/>
    <w:rsid w:val="00463FA4"/>
    <w:rsid w:val="004A517E"/>
    <w:rsid w:val="004F24CB"/>
    <w:rsid w:val="00517D2F"/>
    <w:rsid w:val="005A122C"/>
    <w:rsid w:val="005B593E"/>
    <w:rsid w:val="005F48C4"/>
    <w:rsid w:val="00657E74"/>
    <w:rsid w:val="0068086E"/>
    <w:rsid w:val="006A343E"/>
    <w:rsid w:val="006F0AA7"/>
    <w:rsid w:val="00711F2E"/>
    <w:rsid w:val="00721B6E"/>
    <w:rsid w:val="0075490C"/>
    <w:rsid w:val="007F786A"/>
    <w:rsid w:val="008014B3"/>
    <w:rsid w:val="00925759"/>
    <w:rsid w:val="00940B4A"/>
    <w:rsid w:val="009F651F"/>
    <w:rsid w:val="00A064CF"/>
    <w:rsid w:val="00A10C00"/>
    <w:rsid w:val="00A776B2"/>
    <w:rsid w:val="00A87B7D"/>
    <w:rsid w:val="00A948B3"/>
    <w:rsid w:val="00AA6737"/>
    <w:rsid w:val="00AD0351"/>
    <w:rsid w:val="00AD491F"/>
    <w:rsid w:val="00B22DB4"/>
    <w:rsid w:val="00B274D7"/>
    <w:rsid w:val="00B71EC4"/>
    <w:rsid w:val="00BE5E1C"/>
    <w:rsid w:val="00C75507"/>
    <w:rsid w:val="00C8151A"/>
    <w:rsid w:val="00CC3100"/>
    <w:rsid w:val="00CD3056"/>
    <w:rsid w:val="00D01FB8"/>
    <w:rsid w:val="00D34681"/>
    <w:rsid w:val="00DF7AB8"/>
    <w:rsid w:val="00E23A1C"/>
    <w:rsid w:val="00EB551A"/>
    <w:rsid w:val="00ED0C05"/>
    <w:rsid w:val="00ED7EA5"/>
    <w:rsid w:val="00EE3A46"/>
    <w:rsid w:val="00F05C18"/>
    <w:rsid w:val="00F251BA"/>
    <w:rsid w:val="00FD0BA0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8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08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AB8"/>
  </w:style>
  <w:style w:type="paragraph" w:styleId="Footer">
    <w:name w:val="footer"/>
    <w:basedOn w:val="Normal"/>
    <w:link w:val="Foot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B8"/>
  </w:style>
  <w:style w:type="paragraph" w:styleId="BalloonText">
    <w:name w:val="Balloon Text"/>
    <w:basedOn w:val="Normal"/>
    <w:link w:val="BalloonTextChar"/>
    <w:uiPriority w:val="99"/>
    <w:semiHidden/>
    <w:unhideWhenUsed/>
    <w:rsid w:val="00F05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8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08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AB8"/>
  </w:style>
  <w:style w:type="paragraph" w:styleId="Footer">
    <w:name w:val="footer"/>
    <w:basedOn w:val="Normal"/>
    <w:link w:val="FooterChar"/>
    <w:uiPriority w:val="99"/>
    <w:unhideWhenUsed/>
    <w:rsid w:val="00DF7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AB8"/>
  </w:style>
  <w:style w:type="paragraph" w:styleId="BalloonText">
    <w:name w:val="Balloon Text"/>
    <w:basedOn w:val="Normal"/>
    <w:link w:val="BalloonTextChar"/>
    <w:uiPriority w:val="99"/>
    <w:semiHidden/>
    <w:unhideWhenUsed/>
    <w:rsid w:val="00F05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C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1577</Words>
  <Characters>8989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Simeoni Carlo</dc:creator>
  <cp:lastModifiedBy>Manuela Borrelli</cp:lastModifiedBy>
  <cp:revision>2</cp:revision>
  <dcterms:created xsi:type="dcterms:W3CDTF">2014-01-17T08:19:00Z</dcterms:created>
  <dcterms:modified xsi:type="dcterms:W3CDTF">2014-01-17T08:19:00Z</dcterms:modified>
</cp:coreProperties>
</file>